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175" w:type="dxa"/>
        <w:tblLook w:val="04A0" w:firstRow="1" w:lastRow="0" w:firstColumn="1" w:lastColumn="0" w:noHBand="0" w:noVBand="1"/>
      </w:tblPr>
      <w:tblGrid>
        <w:gridCol w:w="1065"/>
        <w:gridCol w:w="2020"/>
        <w:gridCol w:w="9090"/>
      </w:tblGrid>
      <w:tr w:rsidRPr="00603C24" w:rsidR="00257A40" w:rsidTr="21E48269" w14:paraId="27FA173A" w14:textId="77777777">
        <w:trPr>
          <w:trHeight w:val="300"/>
        </w:trPr>
        <w:tc>
          <w:tcPr>
            <w:tcW w:w="1065" w:type="dxa"/>
            <w:shd w:val="clear" w:color="auto" w:fill="BFBFBF" w:themeFill="background1" w:themeFillShade="BF"/>
            <w:tcMar/>
          </w:tcPr>
          <w:p w:rsidRPr="00603C24" w:rsidR="00257A40" w:rsidP="0041282B" w:rsidRDefault="00257A40" w14:paraId="2BD6343F" w14:textId="77777777">
            <w:pPr>
              <w:rPr>
                <w:rFonts w:ascii="Arial" w:hAnsi="Arial" w:cs="Arial"/>
              </w:rPr>
            </w:pPr>
            <w:r w:rsidRPr="00603C24">
              <w:rPr>
                <w:rFonts w:ascii="Arial" w:hAnsi="Arial" w:cs="Arial"/>
              </w:rPr>
              <w:t>Priority</w:t>
            </w:r>
          </w:p>
        </w:tc>
        <w:tc>
          <w:tcPr>
            <w:tcW w:w="2020" w:type="dxa"/>
            <w:shd w:val="clear" w:color="auto" w:fill="BFBFBF" w:themeFill="background1" w:themeFillShade="BF"/>
            <w:tcMar/>
          </w:tcPr>
          <w:p w:rsidRPr="00603C24" w:rsidR="00257A40" w:rsidRDefault="00257A40" w14:paraId="539F23A3" w14:textId="77777777">
            <w:pPr>
              <w:rPr>
                <w:rFonts w:ascii="Arial" w:hAnsi="Arial" w:cs="Arial"/>
              </w:rPr>
            </w:pPr>
            <w:r w:rsidRPr="00603C24">
              <w:rPr>
                <w:rFonts w:ascii="Arial" w:hAnsi="Arial" w:cs="Arial"/>
              </w:rPr>
              <w:t>Sub-Group</w:t>
            </w:r>
          </w:p>
        </w:tc>
        <w:tc>
          <w:tcPr>
            <w:tcW w:w="9090" w:type="dxa"/>
            <w:shd w:val="clear" w:color="auto" w:fill="BFBFBF" w:themeFill="background1" w:themeFillShade="BF"/>
            <w:tcMar/>
          </w:tcPr>
          <w:p w:rsidRPr="00603C24" w:rsidR="00257A40" w:rsidRDefault="00257A40" w14:paraId="1B26FA63" w14:textId="77777777">
            <w:pPr>
              <w:rPr>
                <w:rFonts w:ascii="Arial" w:hAnsi="Arial" w:cs="Arial"/>
              </w:rPr>
            </w:pPr>
            <w:r w:rsidRPr="00603C24">
              <w:rPr>
                <w:rFonts w:ascii="Arial" w:hAnsi="Arial" w:cs="Arial"/>
              </w:rPr>
              <w:t>Scope / Rationale</w:t>
            </w:r>
          </w:p>
        </w:tc>
      </w:tr>
      <w:tr w:rsidRPr="00603C24" w:rsidR="00257A40" w:rsidTr="21E48269" w14:paraId="43027623" w14:textId="77777777">
        <w:trPr>
          <w:trHeight w:val="300"/>
        </w:trPr>
        <w:tc>
          <w:tcPr>
            <w:tcW w:w="1065" w:type="dxa"/>
            <w:tcMar/>
          </w:tcPr>
          <w:p w:rsidRPr="00603C24" w:rsidR="00257A40" w:rsidP="008B5760" w:rsidRDefault="00257A40" w14:paraId="4059C7F0" w14:textId="77777777">
            <w:pPr>
              <w:rPr>
                <w:rFonts w:ascii="Arial" w:hAnsi="Arial" w:cs="Arial"/>
              </w:rPr>
            </w:pPr>
            <w:r>
              <w:rPr>
                <w:rFonts w:ascii="Arial" w:hAnsi="Arial" w:cs="Arial"/>
              </w:rPr>
              <w:t>1</w:t>
            </w:r>
          </w:p>
        </w:tc>
        <w:tc>
          <w:tcPr>
            <w:tcW w:w="2020" w:type="dxa"/>
            <w:tcMar/>
          </w:tcPr>
          <w:p w:rsidRPr="00603C24" w:rsidR="00257A40" w:rsidP="008B5760" w:rsidRDefault="00257A40" w14:paraId="4F58210C" w14:textId="77777777">
            <w:pPr>
              <w:rPr>
                <w:rFonts w:ascii="Arial" w:hAnsi="Arial" w:cs="Arial"/>
              </w:rPr>
            </w:pPr>
            <w:r w:rsidRPr="00603C24">
              <w:rPr>
                <w:rFonts w:ascii="Arial" w:hAnsi="Arial" w:cs="Arial"/>
              </w:rPr>
              <w:t>Student Experience &amp; Support Services</w:t>
            </w:r>
          </w:p>
        </w:tc>
        <w:tc>
          <w:tcPr>
            <w:tcW w:w="9090" w:type="dxa"/>
            <w:tcMar/>
          </w:tcPr>
          <w:p w:rsidR="00257A40" w:rsidP="008B5760" w:rsidRDefault="00257A40" w14:paraId="02F8A18E" w14:textId="77777777">
            <w:pPr>
              <w:rPr>
                <w:rFonts w:ascii="Arial" w:hAnsi="Arial" w:cs="Arial"/>
              </w:rPr>
            </w:pPr>
            <w:r w:rsidRPr="00540E12">
              <w:rPr>
                <w:rFonts w:ascii="Arial" w:hAnsi="Arial" w:cs="Arial"/>
              </w:rPr>
              <w:t>Review and make recommendations on Student Experience and Support Officers to ensure equitable and sustainable access to wellbeing, pastoral, and co-curricular support across Schools and Faculties.</w:t>
            </w:r>
          </w:p>
          <w:p w:rsidRPr="00603C24" w:rsidR="00257A40" w:rsidP="008B5760" w:rsidRDefault="00257A40" w14:paraId="175A700C" w14:textId="77777777">
            <w:pPr>
              <w:rPr>
                <w:rFonts w:ascii="Arial" w:hAnsi="Arial" w:cs="Arial"/>
              </w:rPr>
            </w:pPr>
          </w:p>
        </w:tc>
      </w:tr>
      <w:tr w:rsidRPr="00603C24" w:rsidR="00257A40" w:rsidTr="21E48269" w14:paraId="18325D04" w14:textId="77777777">
        <w:trPr>
          <w:trHeight w:val="300"/>
        </w:trPr>
        <w:tc>
          <w:tcPr>
            <w:tcW w:w="1065" w:type="dxa"/>
            <w:tcMar/>
          </w:tcPr>
          <w:p w:rsidRPr="00603C24" w:rsidR="00257A40" w:rsidP="00015351" w:rsidRDefault="00257A40" w14:paraId="507B0683" w14:textId="77777777">
            <w:pPr>
              <w:rPr>
                <w:rFonts w:ascii="Arial" w:hAnsi="Arial" w:cs="Arial"/>
              </w:rPr>
            </w:pPr>
            <w:r>
              <w:rPr>
                <w:rFonts w:ascii="Arial" w:hAnsi="Arial" w:cs="Arial"/>
              </w:rPr>
              <w:t>2</w:t>
            </w:r>
          </w:p>
        </w:tc>
        <w:tc>
          <w:tcPr>
            <w:tcW w:w="2020" w:type="dxa"/>
            <w:tcMar/>
          </w:tcPr>
          <w:p w:rsidRPr="00603C24" w:rsidR="00257A40" w:rsidP="00015351" w:rsidRDefault="00257A40" w14:paraId="1AB5BBB7" w14:textId="77777777">
            <w:pPr>
              <w:rPr>
                <w:rFonts w:ascii="Arial" w:hAnsi="Arial" w:cs="Arial"/>
              </w:rPr>
            </w:pPr>
            <w:r w:rsidRPr="00603C24">
              <w:rPr>
                <w:rFonts w:ascii="Arial" w:hAnsi="Arial" w:cs="Arial"/>
              </w:rPr>
              <w:t>IT &amp; Digital Support</w:t>
            </w:r>
          </w:p>
        </w:tc>
        <w:tc>
          <w:tcPr>
            <w:tcW w:w="9090" w:type="dxa"/>
            <w:tcMar/>
          </w:tcPr>
          <w:p w:rsidR="00257A40" w:rsidP="002D6208" w:rsidRDefault="00257A40" w14:paraId="48EF1314" w14:textId="77777777">
            <w:pPr>
              <w:rPr>
                <w:rFonts w:ascii="Arial" w:hAnsi="Arial" w:cs="Arial"/>
              </w:rPr>
            </w:pPr>
            <w:r w:rsidRPr="00540E12">
              <w:rPr>
                <w:rFonts w:ascii="Arial" w:hAnsi="Arial" w:cs="Arial"/>
              </w:rPr>
              <w:t>Review and make recommendations on the management and structure of School IT Officers and Digital Support Services across Schools and Faculties, including opportunities to integrate with Faculty- and University-level digital provision.</w:t>
            </w:r>
          </w:p>
          <w:p w:rsidRPr="00603C24" w:rsidR="00257A40" w:rsidP="002D6208" w:rsidRDefault="00257A40" w14:paraId="16BBB791" w14:textId="77777777">
            <w:pPr>
              <w:rPr>
                <w:rFonts w:ascii="Arial" w:hAnsi="Arial" w:cs="Arial"/>
              </w:rPr>
            </w:pPr>
          </w:p>
        </w:tc>
      </w:tr>
      <w:tr w:rsidRPr="00603C24" w:rsidR="00257A40" w:rsidTr="21E48269" w14:paraId="10AC656D" w14:textId="77777777">
        <w:trPr>
          <w:trHeight w:val="300"/>
        </w:trPr>
        <w:tc>
          <w:tcPr>
            <w:tcW w:w="1065" w:type="dxa"/>
            <w:tcMar/>
          </w:tcPr>
          <w:p w:rsidRPr="00603C24" w:rsidR="00257A40" w:rsidP="0083651B" w:rsidRDefault="00257A40" w14:paraId="5F2719AC" w14:textId="77777777">
            <w:pPr>
              <w:rPr>
                <w:rFonts w:ascii="Arial" w:hAnsi="Arial" w:cs="Arial"/>
              </w:rPr>
            </w:pPr>
            <w:r>
              <w:rPr>
                <w:rFonts w:ascii="Arial" w:hAnsi="Arial" w:cs="Arial"/>
              </w:rPr>
              <w:t>3</w:t>
            </w:r>
          </w:p>
        </w:tc>
        <w:tc>
          <w:tcPr>
            <w:tcW w:w="2020" w:type="dxa"/>
            <w:tcMar/>
          </w:tcPr>
          <w:p w:rsidRPr="00603C24" w:rsidR="00257A40" w:rsidP="0083651B" w:rsidRDefault="00257A40" w14:paraId="7A10D6AA" w14:textId="77777777">
            <w:pPr>
              <w:rPr>
                <w:rFonts w:ascii="Arial" w:hAnsi="Arial" w:cs="Arial"/>
              </w:rPr>
            </w:pPr>
            <w:r w:rsidRPr="00603C24">
              <w:rPr>
                <w:rFonts w:ascii="Arial" w:hAnsi="Arial" w:cs="Arial"/>
              </w:rPr>
              <w:t xml:space="preserve">Student Learning &amp; </w:t>
            </w:r>
            <w:r>
              <w:rPr>
                <w:rFonts w:ascii="Arial" w:hAnsi="Arial" w:cs="Arial"/>
              </w:rPr>
              <w:t>Development</w:t>
            </w:r>
            <w:r w:rsidRPr="00603C24">
              <w:rPr>
                <w:rFonts w:ascii="Arial" w:hAnsi="Arial" w:cs="Arial"/>
              </w:rPr>
              <w:t xml:space="preserve"> Support</w:t>
            </w:r>
          </w:p>
        </w:tc>
        <w:tc>
          <w:tcPr>
            <w:tcW w:w="9090" w:type="dxa"/>
            <w:tcMar/>
          </w:tcPr>
          <w:p w:rsidR="00257A40" w:rsidP="0083651B" w:rsidRDefault="00257A40" w14:paraId="73082945" w14:textId="77777777">
            <w:pPr>
              <w:rPr>
                <w:rFonts w:ascii="Arial" w:hAnsi="Arial" w:cs="Arial"/>
              </w:rPr>
            </w:pPr>
            <w:r w:rsidRPr="00540E12">
              <w:rPr>
                <w:rFonts w:ascii="Arial" w:hAnsi="Arial" w:cs="Arial"/>
              </w:rPr>
              <w:t>Review and make recommendations on Student Learning Development and Graduate School support, including skills training</w:t>
            </w:r>
            <w:r>
              <w:rPr>
                <w:rFonts w:ascii="Arial" w:hAnsi="Arial" w:cs="Arial"/>
              </w:rPr>
              <w:t xml:space="preserve"> and</w:t>
            </w:r>
            <w:r w:rsidRPr="00540E12">
              <w:rPr>
                <w:rFonts w:ascii="Arial" w:hAnsi="Arial" w:cs="Arial"/>
              </w:rPr>
              <w:t xml:space="preserve"> e-learning</w:t>
            </w:r>
            <w:r>
              <w:rPr>
                <w:rFonts w:ascii="Arial" w:hAnsi="Arial" w:cs="Arial"/>
              </w:rPr>
              <w:t xml:space="preserve"> </w:t>
            </w:r>
            <w:r w:rsidRPr="00540E12">
              <w:rPr>
                <w:rFonts w:ascii="Arial" w:hAnsi="Arial" w:cs="Arial"/>
              </w:rPr>
              <w:t>to ensure consistency and sustainability.</w:t>
            </w:r>
          </w:p>
          <w:p w:rsidRPr="00603C24" w:rsidR="00257A40" w:rsidP="0083651B" w:rsidRDefault="00257A40" w14:paraId="1B244377" w14:textId="77777777">
            <w:pPr>
              <w:rPr>
                <w:rFonts w:ascii="Arial" w:hAnsi="Arial" w:cs="Arial"/>
              </w:rPr>
            </w:pPr>
          </w:p>
        </w:tc>
      </w:tr>
      <w:tr w:rsidRPr="00603C24" w:rsidR="00257A40" w:rsidTr="21E48269" w14:paraId="3DD82760" w14:textId="77777777">
        <w:trPr>
          <w:trHeight w:val="300"/>
        </w:trPr>
        <w:tc>
          <w:tcPr>
            <w:tcW w:w="1065" w:type="dxa"/>
            <w:tcMar/>
          </w:tcPr>
          <w:p w:rsidRPr="00603C24" w:rsidR="00257A40" w:rsidRDefault="00257A40" w14:paraId="40BBCE4E" w14:textId="77777777">
            <w:pPr>
              <w:rPr>
                <w:rFonts w:ascii="Arial" w:hAnsi="Arial" w:cs="Arial"/>
              </w:rPr>
            </w:pPr>
            <w:r>
              <w:rPr>
                <w:rFonts w:ascii="Arial" w:hAnsi="Arial" w:cs="Arial"/>
              </w:rPr>
              <w:t>4</w:t>
            </w:r>
          </w:p>
        </w:tc>
        <w:tc>
          <w:tcPr>
            <w:tcW w:w="2020" w:type="dxa"/>
            <w:tcMar/>
          </w:tcPr>
          <w:p w:rsidRPr="00603C24" w:rsidR="00257A40" w:rsidRDefault="00257A40" w14:paraId="7FE659A7" w14:textId="77777777">
            <w:pPr>
              <w:rPr>
                <w:rFonts w:ascii="Arial" w:hAnsi="Arial" w:cs="Arial"/>
              </w:rPr>
            </w:pPr>
            <w:r w:rsidRPr="00603C24">
              <w:rPr>
                <w:rFonts w:ascii="Arial" w:hAnsi="Arial" w:cs="Arial"/>
              </w:rPr>
              <w:t>Student Administration</w:t>
            </w:r>
            <w:r>
              <w:rPr>
                <w:rFonts w:ascii="Arial" w:hAnsi="Arial" w:cs="Arial"/>
              </w:rPr>
              <w:t xml:space="preserve"> (Admissions, E&amp;R, Timetabling)</w:t>
            </w:r>
          </w:p>
        </w:tc>
        <w:tc>
          <w:tcPr>
            <w:tcW w:w="9090" w:type="dxa"/>
            <w:tcMar/>
          </w:tcPr>
          <w:p w:rsidR="00257A40" w:rsidP="00B90EF6" w:rsidRDefault="00257A40" w14:paraId="430A5B45" w14:textId="77777777">
            <w:pPr>
              <w:rPr>
                <w:rFonts w:ascii="Arial" w:hAnsi="Arial" w:cs="Arial"/>
              </w:rPr>
            </w:pPr>
            <w:r w:rsidRPr="00540E12">
              <w:rPr>
                <w:rFonts w:ascii="Arial" w:hAnsi="Arial" w:cs="Arial"/>
              </w:rPr>
              <w:t>Review and make recommendations on admissions (including PGR), enrolment, registration, and timetabling processes, with a view to establishing standardised service levels and reducing duplication across Schools and Faculties.</w:t>
            </w:r>
          </w:p>
          <w:p w:rsidRPr="00603C24" w:rsidR="00257A40" w:rsidP="00B90EF6" w:rsidRDefault="00257A40" w14:paraId="7F5C4CCA" w14:textId="77777777">
            <w:pPr>
              <w:rPr>
                <w:rFonts w:ascii="Arial" w:hAnsi="Arial" w:cs="Arial"/>
              </w:rPr>
            </w:pPr>
          </w:p>
        </w:tc>
      </w:tr>
      <w:tr w:rsidRPr="00603C24" w:rsidR="00257A40" w:rsidTr="21E48269" w14:paraId="01369ADF" w14:textId="77777777">
        <w:trPr>
          <w:trHeight w:val="300"/>
        </w:trPr>
        <w:tc>
          <w:tcPr>
            <w:tcW w:w="1065" w:type="dxa"/>
            <w:tcMar/>
          </w:tcPr>
          <w:p w:rsidRPr="00603C24" w:rsidR="00257A40" w:rsidP="00015351" w:rsidRDefault="00257A40" w14:paraId="286B5DC0" w14:textId="77777777">
            <w:pPr>
              <w:rPr>
                <w:rFonts w:ascii="Arial" w:hAnsi="Arial" w:cs="Arial"/>
              </w:rPr>
            </w:pPr>
            <w:r>
              <w:rPr>
                <w:rFonts w:ascii="Arial" w:hAnsi="Arial" w:cs="Arial"/>
              </w:rPr>
              <w:t>5</w:t>
            </w:r>
          </w:p>
        </w:tc>
        <w:tc>
          <w:tcPr>
            <w:tcW w:w="2020" w:type="dxa"/>
            <w:tcMar/>
          </w:tcPr>
          <w:p w:rsidRPr="00603C24" w:rsidR="00257A40" w:rsidP="00015351" w:rsidRDefault="00257A40" w14:paraId="39F85A5A" w14:textId="77777777">
            <w:pPr>
              <w:rPr>
                <w:rFonts w:ascii="Arial" w:hAnsi="Arial" w:cs="Arial"/>
              </w:rPr>
            </w:pPr>
            <w:r w:rsidRPr="00603C24">
              <w:rPr>
                <w:rFonts w:ascii="Arial" w:hAnsi="Arial" w:cs="Arial"/>
              </w:rPr>
              <w:t>Student Administration</w:t>
            </w:r>
            <w:r>
              <w:rPr>
                <w:rFonts w:ascii="Arial" w:hAnsi="Arial" w:cs="Arial"/>
              </w:rPr>
              <w:t xml:space="preserve"> (Monitoring, Assessments &amp; Boards)</w:t>
            </w:r>
          </w:p>
        </w:tc>
        <w:tc>
          <w:tcPr>
            <w:tcW w:w="9090" w:type="dxa"/>
            <w:tcMar/>
          </w:tcPr>
          <w:p w:rsidR="00257A40" w:rsidP="00D62D2E" w:rsidRDefault="00257A40" w14:paraId="07AF131A" w14:textId="77777777">
            <w:pPr>
              <w:rPr>
                <w:rFonts w:ascii="Arial" w:hAnsi="Arial" w:cs="Arial"/>
              </w:rPr>
            </w:pPr>
            <w:r w:rsidRPr="00540E12">
              <w:rPr>
                <w:rFonts w:ascii="Arial" w:hAnsi="Arial" w:cs="Arial"/>
              </w:rPr>
              <w:t>Review and make recommendations on attendance monitoring (including Tier IV), visiting scholars/students, module marking, degree classification, and exam board processes, ensuring compliance, efficiency, and resilience.</w:t>
            </w:r>
          </w:p>
          <w:p w:rsidRPr="00603C24" w:rsidR="00257A40" w:rsidP="00D62D2E" w:rsidRDefault="00257A40" w14:paraId="627C8F34" w14:textId="77777777">
            <w:pPr>
              <w:rPr>
                <w:rFonts w:ascii="Arial" w:hAnsi="Arial" w:cs="Arial"/>
              </w:rPr>
            </w:pPr>
          </w:p>
        </w:tc>
      </w:tr>
    </w:tbl>
    <w:p w:rsidR="008A4D7C" w:rsidRDefault="008A4D7C" w14:paraId="47127529" w14:textId="77777777">
      <w:r>
        <w:br w:type="page"/>
      </w:r>
    </w:p>
    <w:tbl>
      <w:tblPr>
        <w:tblStyle w:val="TableGrid"/>
        <w:tblW w:w="12190" w:type="dxa"/>
        <w:tblLook w:val="04A0" w:firstRow="1" w:lastRow="0" w:firstColumn="1" w:lastColumn="0" w:noHBand="0" w:noVBand="1"/>
      </w:tblPr>
      <w:tblGrid>
        <w:gridCol w:w="1020"/>
        <w:gridCol w:w="2065"/>
        <w:gridCol w:w="9105"/>
      </w:tblGrid>
      <w:tr w:rsidRPr="00603C24" w:rsidR="008A4D7C" w:rsidTr="21E48269" w14:paraId="119D6036" w14:textId="77777777">
        <w:trPr>
          <w:trHeight w:val="300"/>
        </w:trPr>
        <w:tc>
          <w:tcPr>
            <w:tcW w:w="1020" w:type="dxa"/>
            <w:shd w:val="clear" w:color="auto" w:fill="BFBFBF" w:themeFill="background1" w:themeFillShade="BF"/>
            <w:tcMar/>
          </w:tcPr>
          <w:p w:rsidR="008A4D7C" w:rsidP="008A4D7C" w:rsidRDefault="008A4D7C" w14:paraId="701B88E0" w14:textId="1BDCA403">
            <w:pPr>
              <w:rPr>
                <w:rFonts w:ascii="Arial" w:hAnsi="Arial" w:cs="Arial"/>
              </w:rPr>
            </w:pPr>
            <w:r w:rsidRPr="00603C24">
              <w:rPr>
                <w:rFonts w:ascii="Arial" w:hAnsi="Arial" w:cs="Arial"/>
              </w:rPr>
              <w:lastRenderedPageBreak/>
              <w:t>Priority</w:t>
            </w:r>
          </w:p>
        </w:tc>
        <w:tc>
          <w:tcPr>
            <w:tcW w:w="2065" w:type="dxa"/>
            <w:shd w:val="clear" w:color="auto" w:fill="BFBFBF" w:themeFill="background1" w:themeFillShade="BF"/>
            <w:tcMar/>
          </w:tcPr>
          <w:p w:rsidRPr="00603C24" w:rsidR="008A4D7C" w:rsidP="008A4D7C" w:rsidRDefault="008A4D7C" w14:paraId="6B5EF574" w14:textId="7A8CB924">
            <w:pPr>
              <w:rPr>
                <w:rFonts w:ascii="Arial" w:hAnsi="Arial" w:cs="Arial"/>
              </w:rPr>
            </w:pPr>
            <w:r w:rsidRPr="00603C24">
              <w:rPr>
                <w:rFonts w:ascii="Arial" w:hAnsi="Arial" w:cs="Arial"/>
              </w:rPr>
              <w:t>Sub-Group</w:t>
            </w:r>
          </w:p>
        </w:tc>
        <w:tc>
          <w:tcPr>
            <w:tcW w:w="9105" w:type="dxa"/>
            <w:shd w:val="clear" w:color="auto" w:fill="BFBFBF" w:themeFill="background1" w:themeFillShade="BF"/>
            <w:tcMar/>
          </w:tcPr>
          <w:p w:rsidRPr="00540E12" w:rsidR="008A4D7C" w:rsidP="008A4D7C" w:rsidRDefault="008A4D7C" w14:paraId="34FB5B8D" w14:textId="03A780CF">
            <w:pPr>
              <w:rPr>
                <w:rFonts w:ascii="Arial" w:hAnsi="Arial" w:cs="Arial"/>
              </w:rPr>
            </w:pPr>
            <w:r w:rsidRPr="00603C24">
              <w:rPr>
                <w:rFonts w:ascii="Arial" w:hAnsi="Arial" w:cs="Arial"/>
              </w:rPr>
              <w:t>Scope / Rationale</w:t>
            </w:r>
          </w:p>
        </w:tc>
      </w:tr>
      <w:tr w:rsidRPr="00603C24" w:rsidR="00257A40" w:rsidTr="21E48269" w14:paraId="52BEC2AC" w14:textId="77777777">
        <w:trPr>
          <w:trHeight w:val="300"/>
        </w:trPr>
        <w:tc>
          <w:tcPr>
            <w:tcW w:w="1020" w:type="dxa"/>
            <w:tcMar/>
          </w:tcPr>
          <w:p w:rsidRPr="00603C24" w:rsidR="00257A40" w:rsidP="00F10CAA" w:rsidRDefault="00257A40" w14:paraId="26E00493" w14:textId="77777777">
            <w:pPr>
              <w:rPr>
                <w:rFonts w:ascii="Arial" w:hAnsi="Arial" w:cs="Arial"/>
              </w:rPr>
            </w:pPr>
            <w:r>
              <w:rPr>
                <w:rFonts w:ascii="Arial" w:hAnsi="Arial" w:cs="Arial"/>
              </w:rPr>
              <w:t>6</w:t>
            </w:r>
          </w:p>
        </w:tc>
        <w:tc>
          <w:tcPr>
            <w:tcW w:w="2065" w:type="dxa"/>
            <w:tcMar/>
          </w:tcPr>
          <w:p w:rsidRPr="00603C24" w:rsidR="00257A40" w:rsidP="00F10CAA" w:rsidRDefault="00257A40" w14:paraId="7B1C51A5" w14:textId="77777777">
            <w:pPr>
              <w:rPr>
                <w:rFonts w:ascii="Arial" w:hAnsi="Arial" w:cs="Arial"/>
              </w:rPr>
            </w:pPr>
            <w:r w:rsidRPr="00603C24">
              <w:rPr>
                <w:rFonts w:ascii="Arial" w:hAnsi="Arial" w:cs="Arial"/>
              </w:rPr>
              <w:t>HR/People &amp; Culture Interfaces</w:t>
            </w:r>
          </w:p>
        </w:tc>
        <w:tc>
          <w:tcPr>
            <w:tcW w:w="9105" w:type="dxa"/>
            <w:tcMar/>
          </w:tcPr>
          <w:p w:rsidR="00257A40" w:rsidP="00664B0A" w:rsidRDefault="00257A40" w14:paraId="296624DF" w14:textId="77777777">
            <w:pPr>
              <w:rPr>
                <w:rFonts w:ascii="Arial" w:hAnsi="Arial" w:cs="Arial"/>
              </w:rPr>
            </w:pPr>
            <w:r w:rsidRPr="00540E12">
              <w:rPr>
                <w:rFonts w:ascii="Arial" w:hAnsi="Arial" w:cs="Arial"/>
              </w:rPr>
              <w:t>Review and make recommendations on professional services support for staff recruitment, contracts, induction, and workload management, identifying opportunities to streamline processes and strengthen interfaces with central P&amp;C.</w:t>
            </w:r>
          </w:p>
          <w:p w:rsidRPr="00603C24" w:rsidR="00664B0A" w:rsidP="00664B0A" w:rsidRDefault="00664B0A" w14:paraId="0DC9A1FE" w14:textId="2F5D9651">
            <w:pPr>
              <w:rPr>
                <w:rFonts w:ascii="Arial" w:hAnsi="Arial" w:cs="Arial"/>
              </w:rPr>
            </w:pPr>
          </w:p>
        </w:tc>
      </w:tr>
      <w:tr w:rsidRPr="00603C24" w:rsidR="00257A40" w:rsidTr="21E48269" w14:paraId="2521490D" w14:textId="77777777">
        <w:trPr>
          <w:trHeight w:val="300"/>
        </w:trPr>
        <w:tc>
          <w:tcPr>
            <w:tcW w:w="1020" w:type="dxa"/>
            <w:tcMar/>
          </w:tcPr>
          <w:p w:rsidRPr="00603C24" w:rsidR="00257A40" w:rsidP="00145043" w:rsidRDefault="00257A40" w14:paraId="7B3F2722" w14:textId="77777777">
            <w:pPr>
              <w:rPr>
                <w:rFonts w:ascii="Arial" w:hAnsi="Arial" w:cs="Arial"/>
              </w:rPr>
            </w:pPr>
            <w:r>
              <w:rPr>
                <w:rFonts w:ascii="Arial" w:hAnsi="Arial" w:cs="Arial"/>
              </w:rPr>
              <w:t>7</w:t>
            </w:r>
          </w:p>
        </w:tc>
        <w:tc>
          <w:tcPr>
            <w:tcW w:w="2065" w:type="dxa"/>
            <w:tcMar/>
          </w:tcPr>
          <w:p w:rsidRPr="00603C24" w:rsidR="00257A40" w:rsidP="00145043" w:rsidRDefault="00257A40" w14:paraId="40CD3DB6" w14:textId="77777777">
            <w:pPr>
              <w:rPr>
                <w:rFonts w:ascii="Arial" w:hAnsi="Arial" w:cs="Arial"/>
              </w:rPr>
            </w:pPr>
            <w:r>
              <w:rPr>
                <w:rFonts w:ascii="Arial" w:hAnsi="Arial" w:cs="Arial"/>
              </w:rPr>
              <w:t>Partnerships, Public Engagement &amp; Events</w:t>
            </w:r>
          </w:p>
        </w:tc>
        <w:tc>
          <w:tcPr>
            <w:tcW w:w="9105" w:type="dxa"/>
            <w:tcMar/>
          </w:tcPr>
          <w:p w:rsidR="00257A40" w:rsidP="00145043" w:rsidRDefault="00257A40" w14:paraId="13E580CC" w14:textId="77777777">
            <w:pPr>
              <w:rPr>
                <w:rFonts w:ascii="Arial" w:hAnsi="Arial" w:cs="Arial"/>
              </w:rPr>
            </w:pPr>
            <w:r w:rsidRPr="00540E12">
              <w:rPr>
                <w:rFonts w:ascii="Arial" w:hAnsi="Arial" w:cs="Arial"/>
              </w:rPr>
              <w:t>Review and make recommendations on support for partnerships (including international collaborations), public engagement, and event delivery, ensuring alignment with central strategies and effective use of resources.</w:t>
            </w:r>
          </w:p>
          <w:p w:rsidR="00664B0A" w:rsidP="00145043" w:rsidRDefault="00664B0A" w14:paraId="555F09C4" w14:textId="54A95AD0">
            <w:pPr>
              <w:rPr>
                <w:rFonts w:ascii="Arial" w:hAnsi="Arial" w:cs="Arial"/>
              </w:rPr>
            </w:pPr>
          </w:p>
        </w:tc>
      </w:tr>
      <w:tr w:rsidRPr="00603C24" w:rsidR="00257A40" w:rsidTr="21E48269" w14:paraId="2D603301" w14:textId="77777777">
        <w:trPr>
          <w:trHeight w:val="300"/>
        </w:trPr>
        <w:tc>
          <w:tcPr>
            <w:tcW w:w="1020" w:type="dxa"/>
            <w:tcMar/>
          </w:tcPr>
          <w:p w:rsidRPr="00603C24" w:rsidR="00257A40" w:rsidP="00F10CAA" w:rsidRDefault="00257A40" w14:paraId="08FC3C23" w14:textId="77777777">
            <w:pPr>
              <w:rPr>
                <w:rFonts w:ascii="Arial" w:hAnsi="Arial" w:cs="Arial"/>
              </w:rPr>
            </w:pPr>
            <w:r>
              <w:rPr>
                <w:rFonts w:ascii="Arial" w:hAnsi="Arial" w:cs="Arial"/>
              </w:rPr>
              <w:t>8</w:t>
            </w:r>
          </w:p>
        </w:tc>
        <w:tc>
          <w:tcPr>
            <w:tcW w:w="2065" w:type="dxa"/>
            <w:tcMar/>
          </w:tcPr>
          <w:p w:rsidRPr="00603C24" w:rsidR="00257A40" w:rsidP="00F10CAA" w:rsidRDefault="00257A40" w14:paraId="4F9BB7F9" w14:textId="77777777">
            <w:pPr>
              <w:rPr>
                <w:rFonts w:ascii="Arial" w:hAnsi="Arial" w:cs="Arial"/>
              </w:rPr>
            </w:pPr>
            <w:r w:rsidRPr="00603C24">
              <w:rPr>
                <w:rFonts w:ascii="Arial" w:hAnsi="Arial" w:cs="Arial"/>
              </w:rPr>
              <w:t>Placements</w:t>
            </w:r>
            <w:r>
              <w:rPr>
                <w:rFonts w:ascii="Arial" w:hAnsi="Arial" w:cs="Arial"/>
              </w:rPr>
              <w:t xml:space="preserve"> &amp; Careers</w:t>
            </w:r>
          </w:p>
        </w:tc>
        <w:tc>
          <w:tcPr>
            <w:tcW w:w="9105" w:type="dxa"/>
            <w:tcMar/>
          </w:tcPr>
          <w:p w:rsidR="00257A40" w:rsidP="00664B0A" w:rsidRDefault="00257A40" w14:paraId="3DFDDA57" w14:textId="77777777">
            <w:pPr>
              <w:rPr>
                <w:rFonts w:ascii="Arial" w:hAnsi="Arial" w:cs="Arial"/>
              </w:rPr>
            </w:pPr>
            <w:r w:rsidRPr="00540E12">
              <w:rPr>
                <w:rFonts w:ascii="Arial" w:hAnsi="Arial" w:cs="Arial"/>
              </w:rPr>
              <w:t>Review and make recommendations on the management of placements (including clinical and regulatory body-specific placements) and career development support, ensuring resilience and consistency across subject areas</w:t>
            </w:r>
            <w:r w:rsidR="00664B0A">
              <w:rPr>
                <w:rFonts w:ascii="Arial" w:hAnsi="Arial" w:cs="Arial"/>
              </w:rPr>
              <w:t>.</w:t>
            </w:r>
          </w:p>
          <w:p w:rsidRPr="00603C24" w:rsidR="00664B0A" w:rsidP="00664B0A" w:rsidRDefault="00664B0A" w14:paraId="6D41B96B" w14:textId="4C56BFAB">
            <w:pPr>
              <w:rPr>
                <w:rFonts w:ascii="Arial" w:hAnsi="Arial" w:cs="Arial"/>
              </w:rPr>
            </w:pPr>
          </w:p>
        </w:tc>
      </w:tr>
      <w:tr w:rsidRPr="00603C24" w:rsidR="00257A40" w:rsidTr="21E48269" w14:paraId="47837306" w14:textId="77777777">
        <w:trPr>
          <w:trHeight w:val="300"/>
        </w:trPr>
        <w:tc>
          <w:tcPr>
            <w:tcW w:w="1020" w:type="dxa"/>
            <w:tcMar/>
          </w:tcPr>
          <w:p w:rsidRPr="00603C24" w:rsidR="00257A40" w:rsidP="008B5760" w:rsidRDefault="00257A40" w14:paraId="5E91881A" w14:textId="77777777">
            <w:pPr>
              <w:rPr>
                <w:rFonts w:ascii="Arial" w:hAnsi="Arial" w:cs="Arial"/>
              </w:rPr>
            </w:pPr>
            <w:r>
              <w:rPr>
                <w:rFonts w:ascii="Arial" w:hAnsi="Arial" w:cs="Arial"/>
              </w:rPr>
              <w:t>9</w:t>
            </w:r>
          </w:p>
        </w:tc>
        <w:tc>
          <w:tcPr>
            <w:tcW w:w="2065" w:type="dxa"/>
            <w:tcMar/>
          </w:tcPr>
          <w:p w:rsidRPr="00603C24" w:rsidR="00257A40" w:rsidP="008B5760" w:rsidRDefault="00257A40" w14:paraId="101F2604" w14:textId="77777777">
            <w:pPr>
              <w:rPr>
                <w:rFonts w:ascii="Arial" w:hAnsi="Arial" w:cs="Arial"/>
              </w:rPr>
            </w:pPr>
            <w:r w:rsidRPr="00603C24">
              <w:rPr>
                <w:rFonts w:ascii="Arial" w:hAnsi="Arial" w:cs="Arial"/>
              </w:rPr>
              <w:t>Externally Funded Research Projects, REF Support</w:t>
            </w:r>
          </w:p>
        </w:tc>
        <w:tc>
          <w:tcPr>
            <w:tcW w:w="9105" w:type="dxa"/>
            <w:tcMar/>
          </w:tcPr>
          <w:p w:rsidRPr="00603C24" w:rsidR="00257A40" w:rsidP="00664B0A" w:rsidRDefault="00257A40" w14:paraId="6815420C" w14:textId="274CA9C3">
            <w:pPr>
              <w:rPr>
                <w:rFonts w:ascii="Arial" w:hAnsi="Arial" w:cs="Arial"/>
              </w:rPr>
            </w:pPr>
            <w:r w:rsidRPr="00540E12">
              <w:rPr>
                <w:rFonts w:ascii="Arial" w:hAnsi="Arial" w:cs="Arial"/>
              </w:rPr>
              <w:t>Review and make recommendations on professional services roles tied to research and other external funding, ensuring sustainable support models, and clarify the administration of REF-related activity.</w:t>
            </w:r>
          </w:p>
        </w:tc>
      </w:tr>
      <w:tr w:rsidRPr="00603C24" w:rsidR="00257A40" w:rsidTr="21E48269" w14:paraId="61EA3390" w14:textId="77777777">
        <w:trPr>
          <w:trHeight w:val="300"/>
        </w:trPr>
        <w:tc>
          <w:tcPr>
            <w:tcW w:w="1020" w:type="dxa"/>
            <w:tcMar/>
          </w:tcPr>
          <w:p w:rsidRPr="00603C24" w:rsidR="00257A40" w:rsidP="00F10CAA" w:rsidRDefault="00257A40" w14:paraId="18E07E2E" w14:textId="77777777">
            <w:pPr>
              <w:rPr>
                <w:rFonts w:ascii="Arial" w:hAnsi="Arial" w:cs="Arial"/>
              </w:rPr>
            </w:pPr>
            <w:r>
              <w:rPr>
                <w:rFonts w:ascii="Arial" w:hAnsi="Arial" w:cs="Arial"/>
              </w:rPr>
              <w:t>10</w:t>
            </w:r>
          </w:p>
        </w:tc>
        <w:tc>
          <w:tcPr>
            <w:tcW w:w="2065" w:type="dxa"/>
            <w:tcMar/>
          </w:tcPr>
          <w:p w:rsidRPr="00603C24" w:rsidR="00257A40" w:rsidP="00F10CAA" w:rsidRDefault="00257A40" w14:paraId="77556BBF" w14:textId="77777777">
            <w:pPr>
              <w:rPr>
                <w:rFonts w:ascii="Arial" w:hAnsi="Arial" w:cs="Arial"/>
              </w:rPr>
            </w:pPr>
            <w:r w:rsidRPr="00603C24">
              <w:rPr>
                <w:rFonts w:ascii="Arial" w:hAnsi="Arial" w:cs="Arial"/>
              </w:rPr>
              <w:t>Transactional Finance &amp; Procurement Processes</w:t>
            </w:r>
          </w:p>
        </w:tc>
        <w:tc>
          <w:tcPr>
            <w:tcW w:w="9105" w:type="dxa"/>
            <w:tcMar/>
          </w:tcPr>
          <w:p w:rsidR="00257A40" w:rsidP="00F10CAA" w:rsidRDefault="00257A40" w14:paraId="231371B4" w14:textId="77777777">
            <w:pPr>
              <w:rPr>
                <w:rFonts w:ascii="Arial" w:hAnsi="Arial" w:cs="Arial"/>
              </w:rPr>
            </w:pPr>
            <w:r w:rsidRPr="00540E12">
              <w:rPr>
                <w:rFonts w:ascii="Arial" w:hAnsi="Arial" w:cs="Arial"/>
              </w:rPr>
              <w:t>Review and make recommendations on transactional finance processes, including approvals, P-cards, procurement, and travel support, identifying opportunities for automation, digital solutions, and hub models.</w:t>
            </w:r>
          </w:p>
          <w:p w:rsidRPr="00603C24" w:rsidR="00257A40" w:rsidP="00F10CAA" w:rsidRDefault="00257A40" w14:paraId="3BFDCED9" w14:textId="77777777">
            <w:pPr>
              <w:rPr>
                <w:rFonts w:ascii="Arial" w:hAnsi="Arial" w:cs="Arial"/>
              </w:rPr>
            </w:pPr>
          </w:p>
        </w:tc>
      </w:tr>
      <w:tr w:rsidRPr="00603C24" w:rsidR="00257A40" w:rsidTr="21E48269" w14:paraId="54CC0A87" w14:textId="77777777">
        <w:trPr>
          <w:trHeight w:val="300"/>
        </w:trPr>
        <w:tc>
          <w:tcPr>
            <w:tcW w:w="1020" w:type="dxa"/>
            <w:tcMar/>
          </w:tcPr>
          <w:p w:rsidRPr="00603C24" w:rsidR="00257A40" w:rsidP="00F10CAA" w:rsidRDefault="00257A40" w14:paraId="70C905B5" w14:textId="77777777">
            <w:pPr>
              <w:rPr>
                <w:rFonts w:ascii="Arial" w:hAnsi="Arial" w:cs="Arial"/>
              </w:rPr>
            </w:pPr>
            <w:r>
              <w:rPr>
                <w:rFonts w:ascii="Arial" w:hAnsi="Arial" w:cs="Arial"/>
              </w:rPr>
              <w:t>11</w:t>
            </w:r>
          </w:p>
        </w:tc>
        <w:tc>
          <w:tcPr>
            <w:tcW w:w="2065" w:type="dxa"/>
            <w:tcMar/>
          </w:tcPr>
          <w:p w:rsidRPr="00603C24" w:rsidR="00257A40" w:rsidP="00F10CAA" w:rsidRDefault="00257A40" w14:paraId="6AECEE42" w14:textId="77777777">
            <w:pPr>
              <w:rPr>
                <w:rFonts w:ascii="Arial" w:hAnsi="Arial" w:cs="Arial"/>
              </w:rPr>
            </w:pPr>
            <w:r w:rsidRPr="00603C24">
              <w:rPr>
                <w:rFonts w:ascii="Arial" w:hAnsi="Arial" w:cs="Arial"/>
              </w:rPr>
              <w:t>Marketing</w:t>
            </w:r>
            <w:r>
              <w:rPr>
                <w:rFonts w:ascii="Arial" w:hAnsi="Arial" w:cs="Arial"/>
              </w:rPr>
              <w:t xml:space="preserve"> and </w:t>
            </w:r>
            <w:r w:rsidRPr="00603C24">
              <w:rPr>
                <w:rFonts w:ascii="Arial" w:hAnsi="Arial" w:cs="Arial"/>
              </w:rPr>
              <w:t>Recruitment</w:t>
            </w:r>
          </w:p>
        </w:tc>
        <w:tc>
          <w:tcPr>
            <w:tcW w:w="9105" w:type="dxa"/>
            <w:tcMar/>
          </w:tcPr>
          <w:p w:rsidRPr="00603C24" w:rsidR="00257A40" w:rsidP="00664B0A" w:rsidRDefault="00257A40" w14:paraId="45A99A1E" w14:textId="1009C2F8">
            <w:pPr>
              <w:rPr>
                <w:rFonts w:ascii="Arial" w:hAnsi="Arial" w:cs="Arial"/>
              </w:rPr>
            </w:pPr>
            <w:r w:rsidRPr="00540E12">
              <w:rPr>
                <w:rFonts w:ascii="Arial" w:hAnsi="Arial" w:cs="Arial"/>
              </w:rPr>
              <w:t>Review and make recommendations on School-level marketing and student recruitment activity, and how these align with central Marketing and Student Recruitment functions to ensure clarity and efficiency.</w:t>
            </w:r>
          </w:p>
        </w:tc>
      </w:tr>
      <w:tr w:rsidRPr="00603C24" w:rsidR="00257A40" w:rsidTr="21E48269" w14:paraId="0E02DC61" w14:textId="77777777">
        <w:trPr>
          <w:trHeight w:val="300"/>
        </w:trPr>
        <w:tc>
          <w:tcPr>
            <w:tcW w:w="1020" w:type="dxa"/>
            <w:tcMar/>
          </w:tcPr>
          <w:p w:rsidRPr="00603C24" w:rsidR="00257A40" w:rsidP="00145043" w:rsidRDefault="00257A40" w14:paraId="32BCB2C3" w14:textId="77777777">
            <w:pPr>
              <w:rPr>
                <w:rFonts w:ascii="Arial" w:hAnsi="Arial" w:cs="Arial"/>
              </w:rPr>
            </w:pPr>
            <w:r w:rsidRPr="00603C24">
              <w:rPr>
                <w:rFonts w:ascii="Arial" w:hAnsi="Arial" w:cs="Arial"/>
              </w:rPr>
              <w:t>12</w:t>
            </w:r>
          </w:p>
        </w:tc>
        <w:tc>
          <w:tcPr>
            <w:tcW w:w="2065" w:type="dxa"/>
            <w:tcMar/>
          </w:tcPr>
          <w:p w:rsidRPr="00603C24" w:rsidR="00257A40" w:rsidP="00145043" w:rsidRDefault="00257A40" w14:paraId="0C22B4E4" w14:textId="77777777">
            <w:pPr>
              <w:rPr>
                <w:rFonts w:ascii="Arial" w:hAnsi="Arial" w:cs="Arial"/>
              </w:rPr>
            </w:pPr>
            <w:r w:rsidRPr="00603C24">
              <w:rPr>
                <w:rFonts w:ascii="Arial" w:hAnsi="Arial" w:cs="Arial"/>
              </w:rPr>
              <w:t>Technical Services</w:t>
            </w:r>
          </w:p>
        </w:tc>
        <w:tc>
          <w:tcPr>
            <w:tcW w:w="9105" w:type="dxa"/>
            <w:tcMar/>
          </w:tcPr>
          <w:p w:rsidRPr="00603C24" w:rsidR="00257A40" w:rsidP="00664B0A" w:rsidRDefault="00257A40" w14:paraId="619E22DC" w14:textId="64485F6F">
            <w:pPr>
              <w:rPr>
                <w:rFonts w:ascii="Arial" w:hAnsi="Arial" w:cs="Arial"/>
              </w:rPr>
            </w:pPr>
            <w:r w:rsidRPr="00540E12">
              <w:rPr>
                <w:rFonts w:ascii="Arial" w:hAnsi="Arial" w:cs="Arial"/>
              </w:rPr>
              <w:t>Review and make recommendations on laboratory and workshop support, technical provision, and health and safety functions, working with the new Faculty Technical Managers to ensure resilience and specialist expertise are maintained.</w:t>
            </w:r>
          </w:p>
        </w:tc>
      </w:tr>
    </w:tbl>
    <w:p w:rsidRPr="004658FA" w:rsidR="008C295F" w:rsidP="00BB019B" w:rsidRDefault="008C295F" w14:paraId="7153954C" w14:textId="77777777">
      <w:pPr>
        <w:rPr>
          <w:rFonts w:asciiTheme="majorHAnsi" w:hAnsiTheme="majorHAnsi" w:cstheme="majorHAnsi"/>
        </w:rPr>
      </w:pPr>
    </w:p>
    <w:sectPr w:rsidRPr="004658FA" w:rsidR="008C295F" w:rsidSect="005B658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41C6820"/>
    <w:multiLevelType w:val="multilevel"/>
    <w:tmpl w:val="C4301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D0A4400"/>
    <w:multiLevelType w:val="hybridMultilevel"/>
    <w:tmpl w:val="EF52B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910458">
    <w:abstractNumId w:val="6"/>
  </w:num>
  <w:num w:numId="2" w16cid:durableId="1296793305">
    <w:abstractNumId w:val="7"/>
  </w:num>
  <w:num w:numId="3" w16cid:durableId="1299725675">
    <w:abstractNumId w:val="2"/>
  </w:num>
  <w:num w:numId="4" w16cid:durableId="133107184">
    <w:abstractNumId w:val="3"/>
  </w:num>
  <w:num w:numId="5" w16cid:durableId="1410156011">
    <w:abstractNumId w:val="0"/>
  </w:num>
  <w:num w:numId="6" w16cid:durableId="2077781269">
    <w:abstractNumId w:val="8"/>
  </w:num>
  <w:num w:numId="7" w16cid:durableId="556824428">
    <w:abstractNumId w:val="5"/>
  </w:num>
  <w:num w:numId="8" w16cid:durableId="893855426">
    <w:abstractNumId w:val="1"/>
  </w:num>
  <w:num w:numId="9" w16cid:durableId="903565947">
    <w:abstractNumId w:val="10"/>
  </w:num>
  <w:num w:numId="10" w16cid:durableId="913514546">
    <w:abstractNumId w:val="4"/>
  </w:num>
  <w:num w:numId="11" w16cid:durableId="185252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281"/>
    <w:rsid w:val="0001200F"/>
    <w:rsid w:val="00015351"/>
    <w:rsid w:val="00034616"/>
    <w:rsid w:val="0006063C"/>
    <w:rsid w:val="000802DD"/>
    <w:rsid w:val="00093CB2"/>
    <w:rsid w:val="000A2B52"/>
    <w:rsid w:val="0010411E"/>
    <w:rsid w:val="001102C2"/>
    <w:rsid w:val="00132B1F"/>
    <w:rsid w:val="00132D1C"/>
    <w:rsid w:val="00145043"/>
    <w:rsid w:val="0015074B"/>
    <w:rsid w:val="001536D3"/>
    <w:rsid w:val="001602AF"/>
    <w:rsid w:val="00163D8A"/>
    <w:rsid w:val="00183021"/>
    <w:rsid w:val="001A6C16"/>
    <w:rsid w:val="001B2415"/>
    <w:rsid w:val="001B73CB"/>
    <w:rsid w:val="001C1D82"/>
    <w:rsid w:val="001D6736"/>
    <w:rsid w:val="001E02A6"/>
    <w:rsid w:val="00212376"/>
    <w:rsid w:val="00217702"/>
    <w:rsid w:val="00220F73"/>
    <w:rsid w:val="002359F6"/>
    <w:rsid w:val="002361CD"/>
    <w:rsid w:val="00257A40"/>
    <w:rsid w:val="00263FB5"/>
    <w:rsid w:val="00287AB1"/>
    <w:rsid w:val="0029639D"/>
    <w:rsid w:val="002A4556"/>
    <w:rsid w:val="002C5D8F"/>
    <w:rsid w:val="002D6208"/>
    <w:rsid w:val="002D7A6B"/>
    <w:rsid w:val="002E3986"/>
    <w:rsid w:val="00326F90"/>
    <w:rsid w:val="003356CF"/>
    <w:rsid w:val="0035076C"/>
    <w:rsid w:val="00352626"/>
    <w:rsid w:val="00364C1B"/>
    <w:rsid w:val="00371382"/>
    <w:rsid w:val="003968AE"/>
    <w:rsid w:val="003A14DF"/>
    <w:rsid w:val="003A2130"/>
    <w:rsid w:val="003A30BE"/>
    <w:rsid w:val="003B0941"/>
    <w:rsid w:val="003F019F"/>
    <w:rsid w:val="004047F1"/>
    <w:rsid w:val="00410DAB"/>
    <w:rsid w:val="0041282B"/>
    <w:rsid w:val="00432F5A"/>
    <w:rsid w:val="00447BD9"/>
    <w:rsid w:val="00451A2C"/>
    <w:rsid w:val="0046030A"/>
    <w:rsid w:val="004658FA"/>
    <w:rsid w:val="00481745"/>
    <w:rsid w:val="00481A95"/>
    <w:rsid w:val="0049239E"/>
    <w:rsid w:val="004A65F8"/>
    <w:rsid w:val="004B6F60"/>
    <w:rsid w:val="004E6E1A"/>
    <w:rsid w:val="004F100F"/>
    <w:rsid w:val="00503E59"/>
    <w:rsid w:val="00523EFC"/>
    <w:rsid w:val="00564B18"/>
    <w:rsid w:val="00572C52"/>
    <w:rsid w:val="005B2EDB"/>
    <w:rsid w:val="005B658C"/>
    <w:rsid w:val="005C596D"/>
    <w:rsid w:val="005D008D"/>
    <w:rsid w:val="005D46F6"/>
    <w:rsid w:val="005E16CA"/>
    <w:rsid w:val="005E46EB"/>
    <w:rsid w:val="00600E8A"/>
    <w:rsid w:val="00603C24"/>
    <w:rsid w:val="00633A64"/>
    <w:rsid w:val="00654FF3"/>
    <w:rsid w:val="00664B0A"/>
    <w:rsid w:val="006A4BF9"/>
    <w:rsid w:val="006D7CD3"/>
    <w:rsid w:val="006F15A6"/>
    <w:rsid w:val="006F43BF"/>
    <w:rsid w:val="007154DF"/>
    <w:rsid w:val="00722A5E"/>
    <w:rsid w:val="00724898"/>
    <w:rsid w:val="00725DB2"/>
    <w:rsid w:val="00731625"/>
    <w:rsid w:val="00731C50"/>
    <w:rsid w:val="00740EF7"/>
    <w:rsid w:val="00742009"/>
    <w:rsid w:val="00762D32"/>
    <w:rsid w:val="0078238B"/>
    <w:rsid w:val="00785BCB"/>
    <w:rsid w:val="007927EA"/>
    <w:rsid w:val="007A296F"/>
    <w:rsid w:val="007A47CE"/>
    <w:rsid w:val="007A4F9C"/>
    <w:rsid w:val="007B697C"/>
    <w:rsid w:val="007C4391"/>
    <w:rsid w:val="007C6C97"/>
    <w:rsid w:val="007E1164"/>
    <w:rsid w:val="008262EA"/>
    <w:rsid w:val="0083651B"/>
    <w:rsid w:val="00863137"/>
    <w:rsid w:val="0086664E"/>
    <w:rsid w:val="00875D39"/>
    <w:rsid w:val="00891787"/>
    <w:rsid w:val="0089615E"/>
    <w:rsid w:val="008A4D7C"/>
    <w:rsid w:val="008B3F88"/>
    <w:rsid w:val="008B5760"/>
    <w:rsid w:val="008C295F"/>
    <w:rsid w:val="008F3F0D"/>
    <w:rsid w:val="00910244"/>
    <w:rsid w:val="0091037A"/>
    <w:rsid w:val="00954294"/>
    <w:rsid w:val="00963DE4"/>
    <w:rsid w:val="0097391D"/>
    <w:rsid w:val="009740DA"/>
    <w:rsid w:val="00983442"/>
    <w:rsid w:val="0099130F"/>
    <w:rsid w:val="00993BB4"/>
    <w:rsid w:val="009C2254"/>
    <w:rsid w:val="009C2A09"/>
    <w:rsid w:val="009F5B37"/>
    <w:rsid w:val="00A110AC"/>
    <w:rsid w:val="00A43244"/>
    <w:rsid w:val="00A67834"/>
    <w:rsid w:val="00A97D79"/>
    <w:rsid w:val="00AA1D8D"/>
    <w:rsid w:val="00AE1965"/>
    <w:rsid w:val="00B00D73"/>
    <w:rsid w:val="00B20372"/>
    <w:rsid w:val="00B47730"/>
    <w:rsid w:val="00B607B5"/>
    <w:rsid w:val="00B61316"/>
    <w:rsid w:val="00B75F73"/>
    <w:rsid w:val="00B81FBE"/>
    <w:rsid w:val="00B8559A"/>
    <w:rsid w:val="00B90EF6"/>
    <w:rsid w:val="00BA2E7F"/>
    <w:rsid w:val="00BB019B"/>
    <w:rsid w:val="00BC04B2"/>
    <w:rsid w:val="00BE186E"/>
    <w:rsid w:val="00BE5A52"/>
    <w:rsid w:val="00BF3AA1"/>
    <w:rsid w:val="00C16A9F"/>
    <w:rsid w:val="00C5106F"/>
    <w:rsid w:val="00C700D7"/>
    <w:rsid w:val="00C72794"/>
    <w:rsid w:val="00C93C77"/>
    <w:rsid w:val="00CA28F6"/>
    <w:rsid w:val="00CB0664"/>
    <w:rsid w:val="00CC4F62"/>
    <w:rsid w:val="00CE29EE"/>
    <w:rsid w:val="00CF73B6"/>
    <w:rsid w:val="00D12D8A"/>
    <w:rsid w:val="00D229D0"/>
    <w:rsid w:val="00D31D18"/>
    <w:rsid w:val="00D574BE"/>
    <w:rsid w:val="00D62D2E"/>
    <w:rsid w:val="00D648F3"/>
    <w:rsid w:val="00D65F05"/>
    <w:rsid w:val="00D76CCB"/>
    <w:rsid w:val="00D81EA4"/>
    <w:rsid w:val="00DA60BF"/>
    <w:rsid w:val="00DB0E4F"/>
    <w:rsid w:val="00DB371C"/>
    <w:rsid w:val="00DD6952"/>
    <w:rsid w:val="00DE4A93"/>
    <w:rsid w:val="00DF0F59"/>
    <w:rsid w:val="00DF407E"/>
    <w:rsid w:val="00E12CB4"/>
    <w:rsid w:val="00E24035"/>
    <w:rsid w:val="00E34106"/>
    <w:rsid w:val="00EA6992"/>
    <w:rsid w:val="00EC7DA6"/>
    <w:rsid w:val="00EF0ACB"/>
    <w:rsid w:val="00EF4ED1"/>
    <w:rsid w:val="00EF5A58"/>
    <w:rsid w:val="00F10CAA"/>
    <w:rsid w:val="00F608C0"/>
    <w:rsid w:val="00F8144E"/>
    <w:rsid w:val="00F93B39"/>
    <w:rsid w:val="00FA78DD"/>
    <w:rsid w:val="00FB73D7"/>
    <w:rsid w:val="00FC693F"/>
    <w:rsid w:val="00FC6B00"/>
    <w:rsid w:val="00FE7055"/>
    <w:rsid w:val="00FF0C9E"/>
    <w:rsid w:val="21E48269"/>
    <w:rsid w:val="4E837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EE93D"/>
  <w14:defaultImageDpi w14:val="300"/>
  <w15:docId w15:val="{BB379CA7-82EC-46F7-A347-E1693960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31D18"/>
    <w:pPr>
      <w:spacing w:after="0" w:line="240" w:lineRule="auto"/>
    </w:pPr>
  </w:style>
  <w:style w:type="character" w:styleId="CommentReference">
    <w:name w:val="annotation reference"/>
    <w:basedOn w:val="DefaultParagraphFont"/>
    <w:uiPriority w:val="99"/>
    <w:semiHidden/>
    <w:unhideWhenUsed/>
    <w:rsid w:val="00983442"/>
    <w:rPr>
      <w:sz w:val="16"/>
      <w:szCs w:val="16"/>
    </w:rPr>
  </w:style>
  <w:style w:type="paragraph" w:styleId="CommentText">
    <w:name w:val="annotation text"/>
    <w:basedOn w:val="Normal"/>
    <w:link w:val="CommentTextChar"/>
    <w:uiPriority w:val="99"/>
    <w:unhideWhenUsed/>
    <w:rsid w:val="00983442"/>
    <w:pPr>
      <w:spacing w:line="240" w:lineRule="auto"/>
    </w:pPr>
    <w:rPr>
      <w:sz w:val="20"/>
      <w:szCs w:val="20"/>
    </w:rPr>
  </w:style>
  <w:style w:type="character" w:styleId="CommentTextChar" w:customStyle="1">
    <w:name w:val="Comment Text Char"/>
    <w:basedOn w:val="DefaultParagraphFont"/>
    <w:link w:val="CommentText"/>
    <w:uiPriority w:val="99"/>
    <w:rsid w:val="00983442"/>
    <w:rPr>
      <w:sz w:val="20"/>
      <w:szCs w:val="20"/>
    </w:rPr>
  </w:style>
  <w:style w:type="paragraph" w:styleId="CommentSubject">
    <w:name w:val="annotation subject"/>
    <w:basedOn w:val="CommentText"/>
    <w:next w:val="CommentText"/>
    <w:link w:val="CommentSubjectChar"/>
    <w:uiPriority w:val="99"/>
    <w:semiHidden/>
    <w:unhideWhenUsed/>
    <w:rsid w:val="00983442"/>
    <w:rPr>
      <w:b/>
      <w:bCs/>
    </w:rPr>
  </w:style>
  <w:style w:type="character" w:styleId="CommentSubjectChar" w:customStyle="1">
    <w:name w:val="Comment Subject Char"/>
    <w:basedOn w:val="CommentTextChar"/>
    <w:link w:val="CommentSubject"/>
    <w:uiPriority w:val="99"/>
    <w:semiHidden/>
    <w:rsid w:val="00983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Mary-Ellen Donaghy</lastModifiedBy>
  <revision>42</revision>
  <lastPrinted>2025-09-25T09:54:00.0000000Z</lastPrinted>
  <dcterms:created xsi:type="dcterms:W3CDTF">2025-09-24T21:42:00.0000000Z</dcterms:created>
  <dcterms:modified xsi:type="dcterms:W3CDTF">2025-10-17T09:39:01.0939308Z</dcterms:modified>
  <category/>
</coreProperties>
</file>